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_GB2312" w:eastAsia="仿宋_GB2312"/>
          <w:sz w:val="32"/>
          <w:szCs w:val="32"/>
          <w:lang w:eastAsia="zh-CN"/>
        </w:rPr>
      </w:pPr>
      <w:r>
        <w:rPr>
          <w:rFonts w:hint="eastAsia" w:ascii="仿宋_GB2312" w:eastAsia="仿宋_GB2312"/>
          <w:sz w:val="32"/>
          <w:szCs w:val="32"/>
        </w:rPr>
        <w:t>附件2</w:t>
      </w:r>
    </w:p>
    <w:p>
      <w:pPr>
        <w:spacing w:line="580" w:lineRule="exact"/>
        <w:rPr>
          <w:rFonts w:hint="eastAsia" w:ascii="仿宋_GB2312" w:eastAsia="仿宋_GB2312"/>
          <w:sz w:val="32"/>
          <w:szCs w:val="32"/>
        </w:rPr>
      </w:pPr>
    </w:p>
    <w:p>
      <w:pPr>
        <w:spacing w:line="58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36"/>
          <w:szCs w:val="36"/>
        </w:rPr>
        <w:t>全国税务师行业职业能力竞赛学习参考资料</w:t>
      </w:r>
    </w:p>
    <w:p>
      <w:pPr>
        <w:spacing w:line="580" w:lineRule="exact"/>
        <w:rPr>
          <w:rFonts w:hint="eastAsia" w:ascii="仿宋_GB2312" w:eastAsia="仿宋_GB2312"/>
          <w:sz w:val="32"/>
          <w:szCs w:val="32"/>
        </w:rPr>
      </w:pP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一、政治理论</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《高举中国特色社会主义伟大旗帜 为全面建设社会主义现代化国家而团结奋斗——在中国共产党第二十次全国代表大会上的报告》、《中共中央关于进一步全面深化改革 推进中国式现代化的决定》、《中国共产党章程》、《中国共产党纪律处分条例》。</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二、专业知识</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宪法、民商法、行政法、刑法、诉讼法等法律法规；增值税、消费税等流转税种及其附加费用政策，所得税及其他财产行为税、资源税等税种政策，以及国际税收规则等；涉税服务实务；会计核算、财务分析。</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三、涉税专业服务管理制度</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国家税务总局发布的有关制度，如《涉税专业服务管理办法（试行）》、《涉税专业服务基本准则（试行）》、《涉税专业服务职业道德守则（试行）》等。</w:t>
      </w:r>
    </w:p>
    <w:p>
      <w:pPr>
        <w:spacing w:line="580" w:lineRule="exact"/>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附件2-1：竞赛大纲</w:t>
      </w: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r>
        <w:rPr>
          <w:rFonts w:hint="eastAsia" w:ascii="仿宋_GB2312" w:eastAsia="仿宋_GB2312"/>
          <w:sz w:val="32"/>
          <w:szCs w:val="32"/>
        </w:rPr>
        <w:t>附件2-1：</w:t>
      </w:r>
    </w:p>
    <w:p>
      <w:pPr>
        <w:adjustRightInd w:val="0"/>
        <w:snapToGrid w:val="0"/>
        <w:spacing w:line="600" w:lineRule="exact"/>
        <w:jc w:val="center"/>
        <w:rPr>
          <w:rFonts w:hint="eastAsia" w:ascii="方正小标宋简体" w:hAnsi="方正小标宋简体" w:eastAsia="方正小标宋简体" w:cs="仿宋"/>
          <w:sz w:val="32"/>
          <w:szCs w:val="32"/>
        </w:rPr>
      </w:pPr>
      <w:r>
        <w:rPr>
          <w:rFonts w:hint="eastAsia" w:ascii="方正小标宋简体" w:hAnsi="方正小标宋简体" w:eastAsia="方正小标宋简体" w:cs="仿宋"/>
          <w:sz w:val="32"/>
          <w:szCs w:val="32"/>
        </w:rPr>
        <w:t>竞赛大纲</w:t>
      </w:r>
      <w:bookmarkStart w:id="0" w:name="_GoBack"/>
      <w:bookmarkEnd w:id="0"/>
    </w:p>
    <w:tbl>
      <w:tblPr>
        <w:tblStyle w:val="2"/>
        <w:tblW w:w="4998" w:type="pct"/>
        <w:tblInd w:w="0" w:type="dxa"/>
        <w:tblLayout w:type="autofit"/>
        <w:tblCellMar>
          <w:top w:w="0" w:type="dxa"/>
          <w:left w:w="108" w:type="dxa"/>
          <w:bottom w:w="0" w:type="dxa"/>
          <w:right w:w="108" w:type="dxa"/>
        </w:tblCellMar>
      </w:tblPr>
      <w:tblGrid>
        <w:gridCol w:w="1318"/>
        <w:gridCol w:w="885"/>
        <w:gridCol w:w="1752"/>
        <w:gridCol w:w="4564"/>
      </w:tblGrid>
      <w:tr>
        <w:tblPrEx>
          <w:tblCellMar>
            <w:top w:w="0" w:type="dxa"/>
            <w:left w:w="108" w:type="dxa"/>
            <w:bottom w:w="0" w:type="dxa"/>
            <w:right w:w="108" w:type="dxa"/>
          </w:tblCellMar>
        </w:tblPrEx>
        <w:trPr>
          <w:trHeight w:val="400" w:hRule="atLeast"/>
        </w:trPr>
        <w:tc>
          <w:tcPr>
            <w:tcW w:w="773"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 w:eastAsia="仿宋_GB2312" w:cs="仿宋"/>
                <w:b/>
                <w:bCs/>
                <w:color w:val="000000"/>
                <w:sz w:val="24"/>
                <w:szCs w:val="24"/>
              </w:rPr>
            </w:pPr>
            <w:r>
              <w:rPr>
                <w:rFonts w:hint="eastAsia" w:ascii="仿宋_GB2312" w:hAnsi="仿宋" w:eastAsia="仿宋_GB2312" w:cs="仿宋"/>
                <w:b/>
                <w:bCs/>
                <w:color w:val="000000"/>
                <w:kern w:val="0"/>
                <w:sz w:val="24"/>
                <w:szCs w:val="24"/>
              </w:rPr>
              <w:t>专题</w:t>
            </w:r>
          </w:p>
        </w:tc>
        <w:tc>
          <w:tcPr>
            <w:tcW w:w="51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 w:eastAsia="仿宋_GB2312" w:cs="仿宋"/>
                <w:b/>
                <w:bCs/>
                <w:color w:val="000000"/>
                <w:sz w:val="24"/>
                <w:szCs w:val="24"/>
              </w:rPr>
            </w:pPr>
            <w:r>
              <w:rPr>
                <w:rFonts w:hint="eastAsia" w:ascii="仿宋_GB2312" w:hAnsi="仿宋" w:eastAsia="仿宋_GB2312" w:cs="仿宋"/>
                <w:b/>
                <w:bCs/>
                <w:color w:val="000000"/>
                <w:kern w:val="0"/>
                <w:sz w:val="24"/>
                <w:szCs w:val="24"/>
              </w:rPr>
              <w:t>占比</w:t>
            </w:r>
          </w:p>
        </w:tc>
        <w:tc>
          <w:tcPr>
            <w:tcW w:w="102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 w:eastAsia="仿宋_GB2312" w:cs="仿宋"/>
                <w:b/>
                <w:bCs/>
                <w:color w:val="000000"/>
                <w:sz w:val="24"/>
                <w:szCs w:val="24"/>
              </w:rPr>
            </w:pPr>
            <w:r>
              <w:rPr>
                <w:rFonts w:hint="eastAsia" w:ascii="仿宋_GB2312" w:hAnsi="仿宋" w:eastAsia="仿宋_GB2312" w:cs="仿宋"/>
                <w:b/>
                <w:bCs/>
                <w:color w:val="000000"/>
                <w:kern w:val="0"/>
                <w:sz w:val="24"/>
                <w:szCs w:val="24"/>
              </w:rPr>
              <w:t>类别</w:t>
            </w:r>
          </w:p>
        </w:tc>
        <w:tc>
          <w:tcPr>
            <w:tcW w:w="267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 w:eastAsia="仿宋_GB2312" w:cs="仿宋"/>
                <w:b/>
                <w:bCs/>
                <w:color w:val="000000"/>
                <w:sz w:val="24"/>
                <w:szCs w:val="24"/>
              </w:rPr>
            </w:pPr>
            <w:r>
              <w:rPr>
                <w:rFonts w:hint="eastAsia" w:ascii="仿宋_GB2312" w:hAnsi="仿宋" w:eastAsia="仿宋_GB2312" w:cs="仿宋"/>
                <w:b/>
                <w:bCs/>
                <w:color w:val="000000"/>
                <w:kern w:val="0"/>
                <w:sz w:val="24"/>
                <w:szCs w:val="24"/>
              </w:rPr>
              <w:t>参考资料</w:t>
            </w:r>
          </w:p>
        </w:tc>
      </w:tr>
      <w:tr>
        <w:tblPrEx>
          <w:tblCellMar>
            <w:top w:w="0" w:type="dxa"/>
            <w:left w:w="108" w:type="dxa"/>
            <w:bottom w:w="0" w:type="dxa"/>
            <w:right w:w="108" w:type="dxa"/>
          </w:tblCellMar>
        </w:tblPrEx>
        <w:trPr>
          <w:trHeight w:val="840" w:hRule="atLeast"/>
        </w:trPr>
        <w:tc>
          <w:tcPr>
            <w:tcW w:w="773" w:type="pct"/>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政治理论</w:t>
            </w:r>
          </w:p>
        </w:tc>
        <w:tc>
          <w:tcPr>
            <w:tcW w:w="519" w:type="pct"/>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10%</w:t>
            </w:r>
          </w:p>
        </w:tc>
        <w:tc>
          <w:tcPr>
            <w:tcW w:w="1028" w:type="pct"/>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政治理论</w:t>
            </w: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《高举中国特色社会主义伟大旗帜 为全面建设社会主义现代化国家而团结奋斗——在中国共产党第二十次全国代表大会上的报告》</w:t>
            </w:r>
          </w:p>
        </w:tc>
      </w:tr>
      <w:tr>
        <w:tblPrEx>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《中共中央关于进一步全面深化改革 推进中国式现代化的决定》</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《中国共产党章程》</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《中国共产党纪律处分条例》</w:t>
            </w:r>
          </w:p>
        </w:tc>
      </w:tr>
      <w:tr>
        <w:tblPrEx>
          <w:tblCellMar>
            <w:top w:w="0" w:type="dxa"/>
            <w:left w:w="108" w:type="dxa"/>
            <w:bottom w:w="0" w:type="dxa"/>
            <w:right w:w="108" w:type="dxa"/>
          </w:tblCellMar>
        </w:tblPrEx>
        <w:trPr>
          <w:trHeight w:val="840" w:hRule="atLeast"/>
        </w:trPr>
        <w:tc>
          <w:tcPr>
            <w:tcW w:w="773" w:type="pct"/>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专业知识</w:t>
            </w:r>
          </w:p>
        </w:tc>
        <w:tc>
          <w:tcPr>
            <w:tcW w:w="519" w:type="pct"/>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80%</w:t>
            </w:r>
          </w:p>
        </w:tc>
        <w:tc>
          <w:tcPr>
            <w:tcW w:w="1028" w:type="pct"/>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法律法规</w:t>
            </w: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行政法基本理论、行政许可法律制度、行政处罚法律制度、行政强制法律制度、行政复议法律制度、行政诉讼法律制度</w:t>
            </w:r>
          </w:p>
        </w:tc>
      </w:tr>
      <w:tr>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民法总论、物权法、债法、婚姻家庭与继承法、个人独资企业法、合伙企业法、公司法、破产法、电子商务法、社会保险法、民事诉讼法</w:t>
            </w:r>
          </w:p>
        </w:tc>
      </w:tr>
      <w:tr>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刑法、刑事诉讼法</w:t>
            </w:r>
          </w:p>
        </w:tc>
      </w:tr>
      <w:tr>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1028" w:type="pct"/>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税收政策</w:t>
            </w: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增值税、消费税等流转税种及其附加费用政策</w:t>
            </w:r>
          </w:p>
        </w:tc>
      </w:tr>
      <w:tr>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所得税税种政策</w:t>
            </w:r>
          </w:p>
        </w:tc>
      </w:tr>
      <w:tr>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资源税、车辆购置税、环境保护税、烟叶税、印花税、房产税、车船税、契税、城镇土地使用税、耕地占用税、船舶吨税政策</w:t>
            </w:r>
          </w:p>
        </w:tc>
      </w:tr>
      <w:tr>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土地增值税政策</w:t>
            </w:r>
          </w:p>
        </w:tc>
      </w:tr>
      <w:tr>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关税政策</w:t>
            </w:r>
          </w:p>
        </w:tc>
      </w:tr>
      <w:tr>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国际税收规则</w:t>
            </w:r>
          </w:p>
        </w:tc>
      </w:tr>
      <w:tr>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 w:eastAsia="仿宋_GB2312" w:cs="仿宋"/>
                <w:color w:val="000000"/>
                <w:sz w:val="24"/>
                <w:szCs w:val="24"/>
              </w:rPr>
            </w:pPr>
          </w:p>
        </w:tc>
        <w:tc>
          <w:tcPr>
            <w:tcW w:w="1028" w:type="pct"/>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涉税服务实务</w:t>
            </w: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税收征收管理</w:t>
            </w:r>
          </w:p>
        </w:tc>
      </w:tr>
      <w:tr>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涉税专业服务程序与方法</w:t>
            </w:r>
          </w:p>
        </w:tc>
      </w:tr>
      <w:tr>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涉税会计核算</w:t>
            </w:r>
          </w:p>
        </w:tc>
      </w:tr>
      <w:tr>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纳税申报代理服务</w:t>
            </w:r>
          </w:p>
        </w:tc>
      </w:tr>
      <w:tr>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涉税鉴证与纳税情况审查服务</w:t>
            </w:r>
          </w:p>
        </w:tc>
      </w:tr>
      <w:tr>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税务咨询服务</w:t>
            </w:r>
          </w:p>
        </w:tc>
      </w:tr>
      <w:tr>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其他税务事项代理服务</w:t>
            </w:r>
          </w:p>
        </w:tc>
      </w:tr>
      <w:tr>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其他涉税专业服务</w:t>
            </w:r>
          </w:p>
        </w:tc>
      </w:tr>
      <w:tr>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1028" w:type="pct"/>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会计核算与</w:t>
            </w:r>
          </w:p>
          <w:p>
            <w:pPr>
              <w:jc w:val="cente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财务分析</w:t>
            </w: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财务预测与财务预算</w:t>
            </w:r>
          </w:p>
        </w:tc>
      </w:tr>
      <w:tr>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筹资与股利分配管理</w:t>
            </w:r>
          </w:p>
        </w:tc>
      </w:tr>
      <w:tr>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投资与营运资金管理</w:t>
            </w:r>
          </w:p>
        </w:tc>
      </w:tr>
      <w:tr>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财务分析与评价</w:t>
            </w:r>
          </w:p>
        </w:tc>
      </w:tr>
      <w:tr>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资产、负债、所有者权益核算</w:t>
            </w:r>
          </w:p>
        </w:tc>
      </w:tr>
      <w:tr>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收入、费用、利润和产品成本</w:t>
            </w:r>
          </w:p>
        </w:tc>
      </w:tr>
      <w:tr>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所得税与会计调整</w:t>
            </w:r>
          </w:p>
        </w:tc>
      </w:tr>
      <w:tr>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财务报告</w:t>
            </w:r>
          </w:p>
        </w:tc>
      </w:tr>
      <w:tr>
        <w:tblPrEx>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企业破产清算会计</w:t>
            </w:r>
          </w:p>
        </w:tc>
      </w:tr>
      <w:tr>
        <w:tblPrEx>
          <w:tblCellMar>
            <w:top w:w="0" w:type="dxa"/>
            <w:left w:w="108" w:type="dxa"/>
            <w:bottom w:w="0" w:type="dxa"/>
            <w:right w:w="108" w:type="dxa"/>
          </w:tblCellMar>
        </w:tblPrEx>
        <w:trPr>
          <w:trHeight w:val="560" w:hRule="atLeast"/>
        </w:trPr>
        <w:tc>
          <w:tcPr>
            <w:tcW w:w="773" w:type="pct"/>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涉税专业服务管理制度</w:t>
            </w:r>
          </w:p>
        </w:tc>
        <w:tc>
          <w:tcPr>
            <w:tcW w:w="519" w:type="pct"/>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10%</w:t>
            </w:r>
          </w:p>
        </w:tc>
        <w:tc>
          <w:tcPr>
            <w:tcW w:w="102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管理办法</w:t>
            </w: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涉税专业服务管理办法（试行）（国家税务总局令第58号）</w:t>
            </w:r>
          </w:p>
        </w:tc>
      </w:tr>
      <w:tr>
        <w:tblPrEx>
          <w:tblCellMar>
            <w:top w:w="0" w:type="dxa"/>
            <w:left w:w="108" w:type="dxa"/>
            <w:bottom w:w="0" w:type="dxa"/>
            <w:right w:w="108" w:type="dxa"/>
          </w:tblCellMar>
        </w:tblPrEx>
        <w:trPr>
          <w:trHeight w:val="148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1028" w:type="pct"/>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基本准则、</w:t>
            </w:r>
          </w:p>
          <w:p>
            <w:pPr>
              <w:jc w:val="center"/>
              <w:textAlignment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道德守则、</w:t>
            </w:r>
          </w:p>
          <w:p>
            <w:pPr>
              <w:jc w:val="cente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其他</w:t>
            </w: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国家税务总局关于发布《涉税专业服务基本准则（试行）》和《涉税专业服务职业道德守则（试行）》的公告（国家税务总局公告2023年第16号）</w:t>
            </w:r>
          </w:p>
        </w:tc>
      </w:tr>
      <w:tr>
        <w:tblPrEx>
          <w:tblCellMar>
            <w:top w:w="0" w:type="dxa"/>
            <w:left w:w="108" w:type="dxa"/>
            <w:bottom w:w="0" w:type="dxa"/>
            <w:right w:w="108" w:type="dxa"/>
          </w:tblCellMar>
        </w:tblPrEx>
        <w:trPr>
          <w:trHeight w:val="112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《国家税务总局关于进一步完善涉税专业服务监管制度有关事项的公告》（国家税务总局公告2019年第43号）</w:t>
            </w:r>
          </w:p>
        </w:tc>
      </w:tr>
      <w:tr>
        <w:tblPrEx>
          <w:tblCellMar>
            <w:top w:w="0" w:type="dxa"/>
            <w:left w:w="108" w:type="dxa"/>
            <w:bottom w:w="0" w:type="dxa"/>
            <w:right w:w="108" w:type="dxa"/>
          </w:tblCellMar>
        </w:tblPrEx>
        <w:trPr>
          <w:trHeight w:val="126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国家税务总局关于发布《涉税专业服务信用评价管理办法（试行）》的公告（国家税务总局公告2017年第48号）</w:t>
            </w:r>
          </w:p>
        </w:tc>
      </w:tr>
      <w:tr>
        <w:tblPrEx>
          <w:tblCellMar>
            <w:top w:w="0" w:type="dxa"/>
            <w:left w:w="108" w:type="dxa"/>
            <w:bottom w:w="0" w:type="dxa"/>
            <w:right w:w="108" w:type="dxa"/>
          </w:tblCellMar>
        </w:tblPrEx>
        <w:trPr>
          <w:trHeight w:val="1127"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国家税务总局关于发布《涉税专业服务信息公告与推送办法（试行）》的公告（国家税务总局公告2017年第42号）</w:t>
            </w:r>
          </w:p>
        </w:tc>
      </w:tr>
      <w:tr>
        <w:tblPrEx>
          <w:tblCellMar>
            <w:top w:w="0" w:type="dxa"/>
            <w:left w:w="108" w:type="dxa"/>
            <w:bottom w:w="0" w:type="dxa"/>
            <w:right w:w="108" w:type="dxa"/>
          </w:tblCellMar>
        </w:tblPrEx>
        <w:trPr>
          <w:trHeight w:val="111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国家税务总局关于发布《涉税专业服务监管办法(试行)》的公告（国家税务总局公告2017年第13号）</w:t>
            </w:r>
          </w:p>
        </w:tc>
      </w:tr>
      <w:tr>
        <w:tblPrEx>
          <w:tblCellMar>
            <w:top w:w="0" w:type="dxa"/>
            <w:left w:w="108" w:type="dxa"/>
            <w:bottom w:w="0" w:type="dxa"/>
            <w:right w:w="108" w:type="dxa"/>
          </w:tblCellMar>
        </w:tblPrEx>
        <w:trPr>
          <w:trHeight w:val="113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《国家税务总局关于进一步促进涉税专业服务行业规范发展的通知》（税总纳服函〔2023〕99号）</w:t>
            </w:r>
          </w:p>
        </w:tc>
      </w:tr>
      <w:tr>
        <w:tblPrEx>
          <w:tblCellMar>
            <w:top w:w="0" w:type="dxa"/>
            <w:left w:w="108" w:type="dxa"/>
            <w:bottom w:w="0" w:type="dxa"/>
            <w:right w:w="108" w:type="dxa"/>
          </w:tblCellMar>
        </w:tblPrEx>
        <w:trPr>
          <w:trHeight w:val="111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 w:eastAsia="仿宋_GB2312" w:cs="仿宋"/>
                <w:color w:val="000000"/>
                <w:sz w:val="24"/>
                <w:szCs w:val="24"/>
              </w:rPr>
            </w:pPr>
          </w:p>
        </w:tc>
        <w:tc>
          <w:tcPr>
            <w:tcW w:w="26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rPr>
              <w:t>《国家税务总局关于进一步加强涉税专业服务行业自律和行政监管的通知》（税总纳服函〔2021〕254号）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8356BE"/>
    <w:rsid w:val="1C4F2E3E"/>
    <w:rsid w:val="3BB73237"/>
    <w:rsid w:val="49CA4084"/>
    <w:rsid w:val="554E1500"/>
    <w:rsid w:val="6EB02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2025-08-20T01:56:00Z</dcterms:created>
  <dc:creator>VCHAT</dc:creator>
  <cp:lastModifiedBy>书雨</cp:lastModifiedBy>
  <dcterms:modified xsi:type="dcterms:W3CDTF">2025-08-25T02:42:38Z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KSOTemplateDocerSaveRecord">
    <vt:lpwstr>eyJoZGlkIjoiNjA1OWRjN2ZjYjFlYzA4ZjU5Yjg2ZTQ3NzhjM2ZiZDciLCJ1c2VySWQiOiIyMTc1NTkxMjAifQ==</vt:lpwstr>
  </property>
  <property fmtid="{D5CDD505-2E9C-101B-9397-08002B2CF9AE}" pid="4" name="ICV">
    <vt:lpwstr>1C2F17475B604A19BA1838E3743A59C6_12</vt:lpwstr>
  </property>
</Properties>
</file>